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8"/>
          <w:szCs w:val="38"/>
          <w:u w:val="single"/>
          <w:rtl w:val="0"/>
        </w:rPr>
        <w:t xml:space="preserve">Literacy Units-5th Grade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6315"/>
        <w:tblGridChange w:id="0">
          <w:tblGrid>
            <w:gridCol w:w="3045"/>
            <w:gridCol w:w="63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8"/>
                <w:szCs w:val="3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8"/>
                <w:szCs w:val="38"/>
                <w:u w:val="single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8"/>
                <w:szCs w:val="3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8"/>
                <w:szCs w:val="38"/>
                <w:u w:val="single"/>
                <w:rtl w:val="0"/>
              </w:rPr>
              <w:t xml:space="preserve">Big Idea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Where can an idea begin?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What does it take to put a plan into action?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What kinds of experiences can lead to new discoveries?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How do we decide what’s important?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In what ways can things change?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How are we all connected?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