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u w:val="single"/>
          <w:rtl w:val="0"/>
        </w:rPr>
        <w:t xml:space="preserve">Writing Units-Kindergarten</w:t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Personal Narrative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Informational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Opinion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Response to Literature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