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u w:val="single"/>
          <w:rtl w:val="0"/>
        </w:rPr>
        <w:t xml:space="preserve">Literacy Units-2nd Grade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215"/>
        <w:gridCol w:w="4140"/>
        <w:tblGridChange w:id="0">
          <w:tblGrid>
            <w:gridCol w:w="1965"/>
            <w:gridCol w:w="4215"/>
            <w:gridCol w:w="4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 families and friends learn, grow and help one another?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Key Details and Character, Setting, Plot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 animals play a part in the world around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Character, Setting, Plot; Problem &amp; Solution; Topic &amp; Main Idea; Key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have you learned about the world that surprises you?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Author’s Purpose; Character, Setting, Plot: Sequence; Author’s Purpose; Topic &amp; Main Idea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 different environments make the world an interesting place?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Connections Within Text: Compare &amp; Contrast, Cause &amp; Effect; Theme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can people make a difference?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Point of View; Connections Within Text: Sequence, Cause &amp; Effect; Character, Setting, Plot: Problem &amp; Solution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keeps our world working?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Theme; Author’s Purpose; Topic &amp; Main Idea; Connections Within Text: Problem &amp; Solution; Point of View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